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6552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before="20" w:after="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pStyle w:val="923"/>
        <w:numPr>
          <w:ilvl w:val="0"/>
          <w:numId w:val="1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физкультурно-спортивная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    Подвижные игры являются важнейшим средством развития физической активности обучающихся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одним из самых любимых и полезных занятий детей младшего школьного возраста.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Играя, дети учатся проявлять инициативу, быстро ориентироваться в ситуации и пространстве.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    Сложные и разнообразные движения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игровой деятельности вовлекают в работу все мышечные группы, способствуя развитию опорно-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двигательного аппарата, нормальному росту, укреплению различных функций и систем организма.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Подвижные игры развивают у учеников ловкость, внимание и воображение. При этом у них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формируются такие качества, как целеустремлённость, настойчивость и др. Игры учат сплоченности,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взаимовыручке. В игровую деятельность, как правило, включено большое количество играющих,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что включает в себя постоянное общение со сверстниками, а значит, создает благоприятные условия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для успешной социальной адаптации формирующейся личности в будущем.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Важной миссией лицея является сплочение обучающихся в один целостны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й коллектив. Игра – один из лучших способов собрать вместе детей с разнообразными интересами, помочь их взаимодействию, нацелить на единый результат. Данная программа предоплагает возможность коммуникации обучающихся в образовательном пространстве лицея.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в том что в подвижной игровой деятельности детей активно сочетаются два </w:t>
      </w:r>
      <w:r>
        <w:rPr>
          <w:rFonts w:ascii="Times New Roman" w:hAnsi="Times New Roman" w:cs="Times New Roman"/>
          <w:sz w:val="24"/>
          <w:szCs w:val="24"/>
        </w:rPr>
        <w:t xml:space="preserve">фактора - с одной стороны, дети включаются в практическую деятельность,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физически, с другой - получают морально-эстетическое воспитание</w:t>
      </w:r>
      <w:r>
        <w:rPr>
          <w:rFonts w:ascii="Times New Roman" w:hAnsi="Times New Roman" w:cs="Times New Roman"/>
          <w:sz w:val="24"/>
          <w:szCs w:val="24"/>
        </w:rPr>
        <w:t xml:space="preserve"> в ходе освоения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заключается в том, что она учитывает специфику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дополнительного образования и охватывает большее количество желающих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заниматься физкультурой, предъявляя посильные требования в процессе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обучения. Она дает возможность заняться подвижными играми детям, а также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уделить внимание вопросу формирования привычки к здоровому образу жизни,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всестороннему подходу к воспитанию гармоничного человека.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7-11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один час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40 часов в 1 год обучения: 1 час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рамках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 xml:space="preserve">построены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соблюдением </w:t>
      </w:r>
      <w:r>
        <w:rPr>
          <w:rFonts w:ascii="Times New Roman" w:hAnsi="Times New Roman" w:cs="Times New Roman"/>
          <w:sz w:val="24"/>
          <w:szCs w:val="24"/>
        </w:rPr>
        <w:t xml:space="preserve">оптимального двигательного режима, чередованием заданий теории и практики, </w:t>
      </w:r>
      <w:r>
        <w:rPr>
          <w:rFonts w:ascii="Times New Roman" w:hAnsi="Times New Roman" w:cs="Times New Roman"/>
          <w:sz w:val="24"/>
          <w:szCs w:val="24"/>
        </w:rPr>
        <w:t xml:space="preserve">переключением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одного </w:t>
      </w:r>
      <w:r>
        <w:rPr>
          <w:rFonts w:ascii="Times New Roman" w:hAnsi="Times New Roman" w:cs="Times New Roman"/>
          <w:sz w:val="24"/>
          <w:szCs w:val="24"/>
        </w:rPr>
        <w:t xml:space="preserve">вида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другой,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>
        <w:rPr>
          <w:rFonts w:ascii="Times New Roman" w:hAnsi="Times New Roman" w:cs="Times New Roman"/>
          <w:sz w:val="24"/>
          <w:szCs w:val="24"/>
        </w:rPr>
        <w:t xml:space="preserve">сохранению и укреплению здоровья обучающихся.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фронтальные. </w:t>
      </w:r>
      <w:r/>
    </w:p>
    <w:p>
      <w:pPr>
        <w:pStyle w:val="938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8"/>
        <w:ind w:firstLine="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Подвижные игры являются частью эстетического и физического воспитания детей.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целесообразность. Программа рассчитана на детей любого уровня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физической подготовки. Спортивные и физические игры не только способствуют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развитию мышечного аппарата, но и помогают выработке таких жизненно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необходимых качеств, как быстрота реакции, ловкость, выносливость, укрепляет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силу воли, повышает уверенность в себе.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Дети учатся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коллективным действиям, умению подчинять свои личные интересы интересам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команды, быть дисциплинированными.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приобщение к культуре </w:t>
      </w:r>
      <w:r>
        <w:rPr>
          <w:rFonts w:ascii="Times New Roman" w:hAnsi="Times New Roman" w:cs="Times New Roman"/>
          <w:sz w:val="24"/>
          <w:szCs w:val="24"/>
        </w:rPr>
        <w:t xml:space="preserve">здорового </w:t>
      </w:r>
      <w:r>
        <w:rPr>
          <w:rFonts w:ascii="Times New Roman" w:hAnsi="Times New Roman" w:cs="Times New Roman"/>
          <w:sz w:val="24"/>
          <w:szCs w:val="24"/>
        </w:rPr>
        <w:t xml:space="preserve">образа </w:t>
      </w:r>
      <w:r>
        <w:rPr>
          <w:rFonts w:ascii="Times New Roman" w:hAnsi="Times New Roman" w:cs="Times New Roman"/>
          <w:sz w:val="24"/>
          <w:szCs w:val="24"/>
        </w:rPr>
        <w:t xml:space="preserve">жизни посредством </w:t>
      </w:r>
      <w:r>
        <w:rPr>
          <w:rFonts w:ascii="Times New Roman" w:hAnsi="Times New Roman" w:cs="Times New Roman"/>
          <w:sz w:val="24"/>
          <w:szCs w:val="24"/>
        </w:rPr>
        <w:t xml:space="preserve">освоения </w:t>
      </w:r>
      <w:r>
        <w:rPr>
          <w:rFonts w:ascii="Times New Roman" w:hAnsi="Times New Roman" w:cs="Times New Roman"/>
          <w:sz w:val="24"/>
          <w:szCs w:val="24"/>
        </w:rPr>
        <w:t xml:space="preserve">обучающимися подвижных игр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5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формировать у обучающихся знаний об истории игры, ее классификации, методике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организации и проведения различного вида игр;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5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освоить теоретические знания по физической культуре, гигиене физического воспитания,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технике безопасности;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формировать общие представления о физической культуре, ее значении в жизни человека, роли в укреплении здоровья, физическом развитии и физической подготовленности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формировать знания о способах и особенностях движений, передвижений; о работе мышц, систем дыхания при выполнении физических упражнений, о способах простейшего контроля за деятельностью этих систем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физические и личностные качества детей, двигательные умения и навыки;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у обучающихся интерес и любовь к занятиям различным видам спортивной и игровой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деятельности;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познакомить детей с разнообразием подвижных игр и возможностью использовать их при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организации досуга;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6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потребности и умения самостоятельно заниматься физическими упражнениями.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Cs/>
          <w:i/>
          <w:sz w:val="24"/>
          <w:szCs w:val="24"/>
        </w:rPr>
      </w:r>
      <w:r/>
    </w:p>
    <w:p>
      <w:pPr>
        <w:pStyle w:val="923"/>
        <w:numPr>
          <w:ilvl w:val="0"/>
          <w:numId w:val="3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воспитывать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взаимоуважение,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коллективизм,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целеустремленность, о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тветственность,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взаимовыручку, самостоятельность и умение планировать свою деятельность;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воспитывать дисциплинированность, доброжелательность по отношению друг к другу,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честность;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3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формировать культуру общения со сверстниками и сотрудничества в условиях учебной, игровой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и соревновательной деятельности.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92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920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923"/>
              <w:numPr>
                <w:ilvl w:val="0"/>
                <w:numId w:val="51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Знакомство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игра? 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тест</w:t>
            </w:r>
            <w:r/>
          </w:p>
        </w:tc>
      </w:tr>
      <w:tr>
        <w:trPr>
          <w:trHeight w:val="27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народов мира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Русские народные игры</w:t>
            </w:r>
            <w:r>
              <w:rPr>
                <w:b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</w:t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ловкости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письменное задание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смекалки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Игровое ассорти</w:t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8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мячом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игры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со скакалкой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Эстафеты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98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Финальные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ярмарка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педагогическое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3"/>
        <w:numPr>
          <w:ilvl w:val="0"/>
          <w:numId w:val="21"/>
        </w:numPr>
        <w:ind w:left="0" w:right="29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(Всего: 2 часа, теория: 2 часа, практика: 0 часов)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группой.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с залом, оснащением. Инструктаж по технике безопасности.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Правила безопасного поведения в местах проведения подвижных игр.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подвижных </w:t>
      </w:r>
      <w:r>
        <w:rPr>
          <w:rFonts w:ascii="Times New Roman" w:hAnsi="Times New Roman" w:cs="Times New Roman"/>
          <w:sz w:val="24"/>
          <w:szCs w:val="24"/>
        </w:rPr>
        <w:t xml:space="preserve">игр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здорового </w:t>
      </w:r>
      <w:r>
        <w:rPr>
          <w:rFonts w:ascii="Times New Roman" w:hAnsi="Times New Roman" w:cs="Times New Roman"/>
          <w:sz w:val="24"/>
          <w:szCs w:val="24"/>
        </w:rPr>
        <w:t xml:space="preserve">образа </w:t>
      </w:r>
      <w:r>
        <w:rPr>
          <w:rFonts w:ascii="Times New Roman" w:hAnsi="Times New Roman" w:cs="Times New Roman"/>
          <w:sz w:val="24"/>
          <w:szCs w:val="24"/>
        </w:rPr>
        <w:t xml:space="preserve">жизни.</w:t>
      </w:r>
      <w:r>
        <w:rPr>
          <w:rFonts w:ascii="Times New Roman" w:hAnsi="Times New Roman" w:cs="Times New Roman"/>
          <w:sz w:val="24"/>
          <w:szCs w:val="24"/>
        </w:rPr>
        <w:t xml:space="preserve"> Изучение народных игр различных стран мира.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Устный опрос.</w:t>
      </w:r>
      <w:r>
        <w:rPr>
          <w:rFonts w:ascii="Times New Roman" w:hAnsi="Times New Roman" w:cs="Times New Roman"/>
        </w:rPr>
      </w:r>
      <w:r/>
    </w:p>
    <w:p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Русские народные игры (Всего: 13 часов, теория: 2 часа, практика: 11 часов). </w:t>
      </w:r>
      <w:r>
        <w:rPr>
          <w:rFonts w:ascii="Times New Roman" w:hAnsi="Times New Roman" w:cs="Times New Roman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правилаит русских народных игр. </w:t>
      </w:r>
      <w:r>
        <w:rPr>
          <w:rFonts w:ascii="Times New Roman" w:hAnsi="Times New Roman" w:cs="Times New Roman"/>
          <w:sz w:val="24"/>
          <w:szCs w:val="24"/>
        </w:rPr>
        <w:t xml:space="preserve">Беседа о Родине, ее культуре, искусстве, традициях русского народа, его сказаниях, играх.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Практические игры на развитие ловкости: </w:t>
      </w:r>
      <w:r>
        <w:rPr>
          <w:rFonts w:ascii="Times New Roman" w:hAnsi="Times New Roman" w:cs="Times New Roman"/>
          <w:sz w:val="24"/>
          <w:szCs w:val="24"/>
        </w:rPr>
        <w:t xml:space="preserve">«Гуси-лебеди», </w:t>
      </w:r>
      <w:r>
        <w:rPr>
          <w:rFonts w:ascii="Times New Roman" w:hAnsi="Times New Roman" w:cs="Times New Roman"/>
          <w:sz w:val="24"/>
          <w:szCs w:val="24"/>
        </w:rPr>
        <w:t xml:space="preserve">«У медведя во бору», </w:t>
      </w:r>
      <w:r>
        <w:rPr>
          <w:rFonts w:ascii="Times New Roman" w:hAnsi="Times New Roman" w:cs="Times New Roman"/>
          <w:sz w:val="24"/>
          <w:szCs w:val="24"/>
        </w:rPr>
        <w:t xml:space="preserve">«Филин и пташки», </w:t>
      </w:r>
      <w:r>
        <w:rPr>
          <w:rFonts w:ascii="Times New Roman" w:hAnsi="Times New Roman" w:cs="Times New Roman"/>
          <w:sz w:val="24"/>
          <w:szCs w:val="24"/>
        </w:rPr>
        <w:t xml:space="preserve">«Блуждающий мяч», </w:t>
      </w:r>
      <w:r>
        <w:rPr>
          <w:rFonts w:ascii="Times New Roman" w:hAnsi="Times New Roman" w:cs="Times New Roman"/>
          <w:sz w:val="24"/>
          <w:szCs w:val="24"/>
        </w:rPr>
        <w:t xml:space="preserve">«Игра в классики», </w:t>
      </w:r>
      <w:r>
        <w:rPr>
          <w:rFonts w:ascii="Times New Roman" w:hAnsi="Times New Roman" w:cs="Times New Roman"/>
          <w:sz w:val="24"/>
          <w:szCs w:val="24"/>
        </w:rPr>
        <w:t xml:space="preserve">«Пчелки и ласточки», </w:t>
      </w:r>
      <w:r>
        <w:rPr>
          <w:rFonts w:ascii="Times New Roman" w:hAnsi="Times New Roman" w:cs="Times New Roman"/>
          <w:sz w:val="24"/>
          <w:szCs w:val="24"/>
        </w:rPr>
        <w:t xml:space="preserve">«Салки»</w:t>
      </w:r>
      <w: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Практические игры на развитие смекалки, расширение кругозора: </w:t>
      </w:r>
      <w:r>
        <w:rPr>
          <w:rFonts w:ascii="Times New Roman" w:hAnsi="Times New Roman" w:cs="Times New Roman"/>
          <w:sz w:val="24"/>
          <w:szCs w:val="24"/>
        </w:rPr>
        <w:t xml:space="preserve">«Палочка-выручалочка», </w:t>
      </w:r>
      <w:r>
        <w:rPr>
          <w:rFonts w:ascii="Times New Roman" w:hAnsi="Times New Roman" w:cs="Times New Roman"/>
          <w:sz w:val="24"/>
          <w:szCs w:val="24"/>
        </w:rPr>
        <w:t xml:space="preserve">«Ловушка в кругу», </w:t>
      </w:r>
      <w:r>
        <w:rPr>
          <w:rFonts w:ascii="Times New Roman" w:hAnsi="Times New Roman" w:cs="Times New Roman"/>
          <w:sz w:val="24"/>
          <w:szCs w:val="24"/>
        </w:rPr>
        <w:t xml:space="preserve">«Совушка», </w:t>
      </w:r>
      <w:r>
        <w:rPr>
          <w:rFonts w:ascii="Times New Roman" w:hAnsi="Times New Roman" w:cs="Times New Roman"/>
          <w:sz w:val="24"/>
          <w:szCs w:val="24"/>
        </w:rPr>
        <w:t xml:space="preserve">«Слепой козел».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педагогическое наблюдение.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Игровое ассорти (Всего: 17 часов, теория: 2 час, практика: 15 часов). 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историей мяча ка</w:t>
      </w:r>
      <w:r>
        <w:rPr>
          <w:rFonts w:ascii="Times New Roman" w:hAnsi="Times New Roman" w:cs="Times New Roman"/>
          <w:sz w:val="24"/>
          <w:szCs w:val="24"/>
        </w:rPr>
        <w:t xml:space="preserve">к спортивного атрибута. Техника безопасности при игре с мячом. Знакомство с правилами игр в мяч. Изучение правил музыкальной игры. Знакомство с музыкальными играми различных стран мира. Техника безопасности при работе со скакалкой. Беседа о правилах игры.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Командные игра с мячом: </w:t>
      </w:r>
      <w:r>
        <w:rPr>
          <w:rFonts w:ascii="Times New Roman" w:hAnsi="Times New Roman" w:cs="Times New Roman"/>
          <w:sz w:val="24"/>
          <w:szCs w:val="24"/>
        </w:rPr>
        <w:t xml:space="preserve">«Съедобное-несъедобное», </w:t>
      </w:r>
      <w:r>
        <w:rPr>
          <w:rFonts w:ascii="Times New Roman" w:hAnsi="Times New Roman" w:cs="Times New Roman"/>
          <w:sz w:val="24"/>
          <w:szCs w:val="24"/>
        </w:rPr>
        <w:t xml:space="preserve">«Вышибалы сидя», </w:t>
      </w:r>
      <w:r>
        <w:rPr>
          <w:rFonts w:ascii="Times New Roman" w:hAnsi="Times New Roman" w:cs="Times New Roman"/>
          <w:sz w:val="24"/>
          <w:szCs w:val="24"/>
        </w:rPr>
        <w:t xml:space="preserve">«Я знаю 5 ...», </w:t>
      </w:r>
      <w:r>
        <w:rPr>
          <w:rFonts w:ascii="Times New Roman" w:hAnsi="Times New Roman" w:cs="Times New Roman"/>
          <w:sz w:val="24"/>
          <w:szCs w:val="24"/>
        </w:rPr>
        <w:t xml:space="preserve">«Поймай мяч», </w:t>
      </w:r>
      <w:r>
        <w:rPr>
          <w:rFonts w:ascii="Times New Roman" w:hAnsi="Times New Roman" w:cs="Times New Roman"/>
          <w:sz w:val="24"/>
          <w:szCs w:val="24"/>
        </w:rPr>
        <w:t xml:space="preserve">«Горячая картошка», </w:t>
      </w:r>
      <w:r>
        <w:rPr>
          <w:rFonts w:ascii="Times New Roman" w:hAnsi="Times New Roman" w:cs="Times New Roman"/>
          <w:sz w:val="24"/>
          <w:szCs w:val="24"/>
        </w:rPr>
        <w:t xml:space="preserve">«Свободный мяч»</w:t>
      </w:r>
      <w:r>
        <w:rPr>
          <w:rFonts w:ascii="Times New Roman" w:hAnsi="Times New Roman" w:cs="Times New Roman"/>
          <w:sz w:val="24"/>
          <w:szCs w:val="24"/>
        </w:rPr>
        <w:t xml:space="preserve">. Выполнение подвижных музыкальных игр: </w:t>
      </w:r>
      <w:r>
        <w:rPr>
          <w:rFonts w:ascii="Times New Roman" w:hAnsi="Times New Roman" w:cs="Times New Roman"/>
          <w:sz w:val="24"/>
          <w:szCs w:val="24"/>
        </w:rPr>
        <w:t xml:space="preserve">«Море волнуется, раз», </w:t>
      </w:r>
      <w:r>
        <w:rPr>
          <w:rFonts w:ascii="Times New Roman" w:hAnsi="Times New Roman" w:cs="Times New Roman"/>
          <w:sz w:val="24"/>
          <w:szCs w:val="24"/>
        </w:rPr>
        <w:t xml:space="preserve">«Замороженный танец», </w:t>
      </w:r>
      <w:r>
        <w:rPr>
          <w:rFonts w:ascii="Times New Roman" w:hAnsi="Times New Roman" w:cs="Times New Roman"/>
          <w:sz w:val="24"/>
          <w:szCs w:val="24"/>
        </w:rPr>
        <w:t xml:space="preserve">«Горячая картошка под музыку», </w:t>
      </w:r>
      <w:r>
        <w:rPr>
          <w:rFonts w:ascii="Times New Roman" w:hAnsi="Times New Roman" w:cs="Times New Roman"/>
          <w:sz w:val="24"/>
          <w:szCs w:val="24"/>
        </w:rPr>
        <w:t xml:space="preserve">«Музыкальный крокодил», </w:t>
      </w:r>
      <w:r>
        <w:rPr>
          <w:rFonts w:ascii="Times New Roman" w:hAnsi="Times New Roman" w:cs="Times New Roman"/>
          <w:sz w:val="24"/>
          <w:szCs w:val="24"/>
        </w:rPr>
        <w:t xml:space="preserve">«Музыкальные стулья»</w:t>
      </w:r>
      <w:r>
        <w:rPr>
          <w:rFonts w:ascii="Times New Roman" w:hAnsi="Times New Roman" w:cs="Times New Roman"/>
          <w:sz w:val="24"/>
          <w:szCs w:val="24"/>
        </w:rPr>
        <w:t xml:space="preserve">. Знакомство и подвижная игра со спортивным атрибутом – скакалкой: </w:t>
      </w:r>
      <w:r>
        <w:rPr>
          <w:rFonts w:ascii="Times New Roman" w:hAnsi="Times New Roman" w:cs="Times New Roman"/>
          <w:sz w:val="24"/>
          <w:szCs w:val="24"/>
        </w:rPr>
        <w:t xml:space="preserve">«Прыжок за прыжком», </w:t>
      </w:r>
      <w:r>
        <w:rPr>
          <w:rFonts w:ascii="Times New Roman" w:hAnsi="Times New Roman" w:cs="Times New Roman"/>
          <w:sz w:val="24"/>
          <w:szCs w:val="24"/>
        </w:rPr>
        <w:t xml:space="preserve">«Десяточки», </w:t>
      </w:r>
      <w:r>
        <w:rPr>
          <w:rFonts w:ascii="Times New Roman" w:hAnsi="Times New Roman" w:cs="Times New Roman"/>
          <w:sz w:val="24"/>
          <w:szCs w:val="24"/>
        </w:rPr>
        <w:t xml:space="preserve">«Волны», </w:t>
      </w:r>
      <w:r>
        <w:rPr>
          <w:rFonts w:ascii="Times New Roman" w:hAnsi="Times New Roman" w:cs="Times New Roman"/>
          <w:sz w:val="24"/>
          <w:szCs w:val="24"/>
        </w:rPr>
        <w:t xml:space="preserve">«Имена».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Эстафеты (Всего: 5 часов, теория: 1 час, практика: 4 часов).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Беседа о технике безопасности во время выполнения эстафет. Знакомство с различными типами эстафет.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Выполнение эстафет индивидуально, в мини-группе, в команде.Участие  в эстафетах с мячом, беге в мешках, эстафете с обручем. Итоговое соревнование в тройной эстафете.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color w:val="000000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практическое задание, педагогическое наблюдение.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Финальные игры (Всего: 3 часа, теория: 1 час, практика: 2 часа).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семейными подвижными играми. Подготовка к фотовыставке. Беседа с профессиональным спортсменом.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Участие в семейных соревнованиях. Проведение фотовыставки: «Мы играли целый год»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опрос, практическое задание, педагогическое наблюдение.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bCs/>
          <w:i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i/>
          <w:iCs/>
        </w:rPr>
      </w:r>
      <w:r/>
    </w:p>
    <w:p>
      <w:pPr>
        <w:pStyle w:val="923"/>
        <w:numPr>
          <w:ilvl w:val="0"/>
          <w:numId w:val="5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формирование у обучающихся знаний об истории игры, ее классификации, методике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организации и проведения различного вида игр;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освоение теоретических знаний по физической культуре, гигиене физического воспитания,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технике безопасности;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ф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формирование знаний о способах и особенностях движений, передвижений; о работе мышц, систем дыхания при выполнении физических упражнений, о способах простейшего контроля за деятельностью этих систем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3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физических и личностных качеств детей, двигательных умений и навыков;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3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у обучащихся интереса и любви к занятиям различными видами спортивной и игровой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деятельности;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3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знакомство детей с разнообразием подвижных игр и возможностью использовать их при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организации досуга;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3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потребности и умения самостоятельно заниматься физическими упражнениями.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4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воспитание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взаимоуважения,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коллективизма,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целеустремленности, о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тветственности,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взаимовыручки, самостоятельности и умения планировать свою деятельность;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4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воспитание дисциплинированности, доброжелательности по отношению друг к другу,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честности;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54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формирование культуры общения со сверстниками и сотрудничества в условиях учебной, игровой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и соревновательной деятельности.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551"/>
        <w:gridCol w:w="1276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b/>
                <w:bCs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b/>
                <w:bCs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21"/>
              <w:jc w:val="both"/>
              <w:spacing w:after="2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игра? 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«Гуси-лебеди»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во бору»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«Филин и пташки»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«Блуждающий мяч»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«Игра в классики»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«Пчелки и ласточки»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самом интересном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8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«Палочка-выручалочка»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«Ловушка в кругу»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«Совушка»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«Слепой козел»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играх в сказках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«Съедобное-несъедобное»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«Вышибалы сидя»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знаю 5 ...»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«Поймай мяч»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«Горячая картошка»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«Свободный мяч»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мяча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«Море волнуется, раз»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«Замороженный танец»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«Горячая картошка под музыку»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крокодил»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«Музыкальные стулья»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игры стран мира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«Прыжок за прыжком»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«Десяточки»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«Волны»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«Имена»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эстафеты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Эстафета с мячом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в мешках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Эстафета с обручем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Тройная эстафета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Ярмарка семейных игр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игрой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 со спортсменом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2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14.00-14:45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Фотовыставка: «Мы играли целый год»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1. Учебный кабинет, удовлетворяющий санитарно-гигиеническим требованиям, для занятий группы 15 человек (мебель: парты, стулья; интерактивная доска, шкаф для УМК).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2. Спортивный зал.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3. Спортивная площадка.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Спортивное 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спортивный инвентарь: мячи, скакалки, обручи, гимнастические </w:t>
      </w:r>
      <w:r>
        <w:rPr>
          <w:rFonts w:ascii="Times New Roman" w:hAnsi="Times New Roman" w:cs="Times New Roman"/>
          <w:sz w:val="24"/>
          <w:szCs w:val="24"/>
        </w:rPr>
        <w:t xml:space="preserve">палки, кегли, ракетки, канат, гимнастические скамейки, стенки, маты.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Наглядный материал: мультимедийные презентации, тематические видеоматериалы.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1 Игры для детей http://bosichkom.com/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2. http://festival.1september.ru/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3.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Психологос.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Энциклопедия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практической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психологии.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Дыхательные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упражнения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для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детей: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http://www.psychologos.ru/articles/view/dyhatelnye_uprazhneniya_dlya_detey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4. ФизкультУра </w:t>
      </w:r>
      <w:hyperlink r:id="rId11" w:tooltip="http://fizkult-ura.ru/" w:history="1">
        <w:r>
          <w:rPr>
            <w:rStyle w:val="942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  <w:t xml:space="preserve">http://fizkult-ura.ru/</w:t>
        </w:r>
        <w:r>
          <w:rPr>
            <w:rStyle w:val="942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</w:r>
        <w:r>
          <w:rPr>
            <w:rStyle w:val="942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Входной контроль (входная диагностика)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это оценка исходного уровня знаний перед началом образовательного процесса. Проводится в форме вопросно-ответной беседы.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 итогам каждого учебного полугодия проводится промежуточное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мероприятие на предмет освоения изученных тем. Педагогом выставляется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оценка по трехуровневой системе: «3» – высокий уровень, «2» – средний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уровень, «1» – низкий уровень.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tbl>
      <w:tblPr>
        <w:tblStyle w:val="920"/>
        <w:tblW w:w="0" w:type="auto"/>
        <w:tblLayout w:type="fixed"/>
        <w:tblLook w:val="04A0" w:firstRow="1" w:lastRow="0" w:firstColumn="1" w:lastColumn="0" w:noHBand="0" w:noVBand="1"/>
      </w:tblPr>
      <w:tblGrid>
        <w:gridCol w:w="1089"/>
        <w:gridCol w:w="3184"/>
        <w:gridCol w:w="2136"/>
        <w:gridCol w:w="2136"/>
        <w:gridCol w:w="2136"/>
      </w:tblGrid>
      <w:tr>
        <w:trPr/>
        <w:tc>
          <w:tcPr>
            <w:tcW w:w="10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318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ФИ обучающегося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gridSpan w:val="2"/>
            <w:tcW w:w="427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Аттестационные мероприятия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ИТОГ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3184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  <w:lang w:val="en-US"/>
              </w:rPr>
              <w:t xml:space="preserve">I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  <w:lang w:val="ru-RU"/>
              </w:rPr>
              <w:t xml:space="preserve">полугодие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  <w:lang w:val="en-US"/>
              </w:rPr>
              <w:t xml:space="preserve">II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  <w:lang w:val="ru-RU"/>
              </w:rPr>
              <w:t xml:space="preserve">полугодие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318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318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318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W w:w="21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/>
          </w:p>
        </w:tc>
      </w:tr>
    </w:tbl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Шкала усвоения программы: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От 5 до 6 баллов – программа усвоена в полном объеме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От 3 до 4 баллов – программа усвоена на среднем уровне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От 1 до 2 баллов – программа усвоена частично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Результативным фактором в оценочной работе обучения является заполнение обучающимися на входе и при завершении освоения программного материала листа собственных наблюдений (Приложение 1)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    При реализации программы используются различные методы обучения: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словесные: рассказ, объяснение нового материала;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наглядные: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показ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новых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игр,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демонстрация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иллюстративного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материала;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практические: апробирование новых игр, эстафеты, соревнования,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конкурсы.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b/>
          <w:bCs/>
          <w:i/>
          <w:iCs/>
        </w:rPr>
      </w:r>
      <w:r/>
    </w:p>
    <w:p>
      <w:pPr>
        <w:pStyle w:val="92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Левченко, А. Игры, которых не было. Сборник спортивно-подвижных игр / А.Левченко, В.Матысон. – М.: Педагогическое общество России, 2007. – 128 с.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Логинов, М. Развивающие игры: быстрее, выше, сильнее / М.Логинов. – СПб.: Дельта, 1998. – 208 с., ил.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Талага, Е. Энциклопедия физических упражнений / Е.Талага, пер. с польск. – М.: Физкультура и спорт, 1998. – 412 с., ил.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iCs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2" w:tooltip="http://www.consultant.ru/document/cons_doc_LAW_168200/" w:history="1">
        <w:r>
          <w:rPr>
            <w:rStyle w:val="94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4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4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42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Литвинов М.Ф., Русские народные подвижные игры. - М., 1986.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Портных Ю.И., Спортивные и подвижные игры. - М., 1984.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Попова Г.П. Дружить со спортом и игрой. Поддержка работоспособности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школьника: упражнения, игры, инсценировки. Волгоград. Учитель, 2008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Советова Е.В. Оздоровительные технологии в школе. – Ростов. Феникс,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2006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Старковская В.П. 300 подвижных игр для оздоровления детей. М. Новая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школа, 1994 г.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23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Тартаковский М. Уроки физической гармонии. М.,1981 г.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</w:p>
    <w:p>
      <w:pPr>
        <w:ind w:right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 1.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left"/>
        <w:spacing w:after="0" w:line="240" w:lineRule="auto"/>
        <w:rPr>
          <w:bCs w:val="0"/>
          <w:i w:val="0"/>
        </w:rPr>
      </w:pP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Лист собственных наблюдений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    Обведи ту цифру, по которой ты оцениваешь знание правил игры (по шкале от 1 до 4, где 4 – полностью знаю правила, лично играл в эту игру; 3 - знаю правила, но лично в игру не играл; 2 – знаю правила частично; 1 – не знаю правил этой игры)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20"/>
        <w:tblW w:w="0" w:type="auto"/>
        <w:tblInd w:w="2648" w:type="dxa"/>
        <w:tblLayout w:type="fixed"/>
        <w:tblLook w:val="04A0" w:firstRow="1" w:lastRow="0" w:firstColumn="1" w:lastColumn="0" w:noHBand="0" w:noVBand="1"/>
      </w:tblPr>
      <w:tblGrid>
        <w:gridCol w:w="3543"/>
        <w:gridCol w:w="1276"/>
        <w:gridCol w:w="1417"/>
      </w:tblGrid>
      <w:tr>
        <w:trPr>
          <w:trHeight w:val="735"/>
        </w:trPr>
        <w:tc>
          <w:tcPr>
            <w:tcW w:w="3543" w:type="dxa"/>
            <w:textDirection w:val="lrTb"/>
            <w:noWrap w:val="false"/>
          </w:tcPr>
          <w:p>
            <w:pPr>
              <w:jc w:val="center"/>
              <w:tabs>
                <w:tab w:val="center" w:pos="932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игры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  <w:t xml:space="preserve">Входной ответ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Итоговый ответ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</w:tr>
      <w:tr>
        <w:trPr/>
        <w:tc>
          <w:tcPr>
            <w:tcW w:w="3543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«Гуси-лебеди»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во бору»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«Филин и пташки»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«Блуждающий мяч»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«Игра в классики»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«Пчелки и ласточки»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«Палочка-выручалочка»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«Ловушка в кругу»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«Совушка»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«Слепой козел»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играх в сказках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«Съедобное-несъедобное»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«Вышибалы сидя»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знаю 5 ...»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«Поймай мяч»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«Горячая картошка»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«Свободный мяч»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«Море волнуется, раз»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«Замороженный танец»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«Горячая картошка под музыку»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крокодил»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«Музыкальные стулья»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«Прыжок за прыжком»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«Десяточки»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«Волны»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«Имена»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Эстафета с мячом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в мешках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Эстафета с обручем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Тройная эстафета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1234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2">
    <w:name w:val="Heading 1 Char"/>
    <w:basedOn w:val="917"/>
    <w:link w:val="915"/>
    <w:uiPriority w:val="9"/>
    <w:rPr>
      <w:rFonts w:ascii="Arial" w:hAnsi="Arial" w:eastAsia="Arial" w:cs="Arial"/>
      <w:sz w:val="40"/>
      <w:szCs w:val="40"/>
    </w:rPr>
  </w:style>
  <w:style w:type="paragraph" w:styleId="743">
    <w:name w:val="Heading 2"/>
    <w:basedOn w:val="914"/>
    <w:next w:val="914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4">
    <w:name w:val="Heading 2 Char"/>
    <w:basedOn w:val="917"/>
    <w:link w:val="743"/>
    <w:uiPriority w:val="9"/>
    <w:rPr>
      <w:rFonts w:ascii="Arial" w:hAnsi="Arial" w:eastAsia="Arial" w:cs="Arial"/>
      <w:sz w:val="34"/>
    </w:rPr>
  </w:style>
  <w:style w:type="character" w:styleId="745">
    <w:name w:val="Heading 3 Char"/>
    <w:basedOn w:val="917"/>
    <w:link w:val="916"/>
    <w:uiPriority w:val="9"/>
    <w:rPr>
      <w:rFonts w:ascii="Arial" w:hAnsi="Arial" w:eastAsia="Arial" w:cs="Arial"/>
      <w:sz w:val="30"/>
      <w:szCs w:val="30"/>
    </w:rPr>
  </w:style>
  <w:style w:type="paragraph" w:styleId="746">
    <w:name w:val="Heading 4"/>
    <w:basedOn w:val="914"/>
    <w:next w:val="914"/>
    <w:link w:val="74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7">
    <w:name w:val="Heading 4 Char"/>
    <w:basedOn w:val="917"/>
    <w:link w:val="746"/>
    <w:uiPriority w:val="9"/>
    <w:rPr>
      <w:rFonts w:ascii="Arial" w:hAnsi="Arial" w:eastAsia="Arial" w:cs="Arial"/>
      <w:b/>
      <w:bCs/>
      <w:sz w:val="26"/>
      <w:szCs w:val="26"/>
    </w:rPr>
  </w:style>
  <w:style w:type="paragraph" w:styleId="748">
    <w:name w:val="Heading 5"/>
    <w:basedOn w:val="914"/>
    <w:next w:val="914"/>
    <w:link w:val="74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9">
    <w:name w:val="Heading 5 Char"/>
    <w:basedOn w:val="917"/>
    <w:link w:val="748"/>
    <w:uiPriority w:val="9"/>
    <w:rPr>
      <w:rFonts w:ascii="Arial" w:hAnsi="Arial" w:eastAsia="Arial" w:cs="Arial"/>
      <w:b/>
      <w:bCs/>
      <w:sz w:val="24"/>
      <w:szCs w:val="24"/>
    </w:rPr>
  </w:style>
  <w:style w:type="paragraph" w:styleId="750">
    <w:name w:val="Heading 6"/>
    <w:basedOn w:val="914"/>
    <w:next w:val="914"/>
    <w:link w:val="75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1">
    <w:name w:val="Heading 6 Char"/>
    <w:basedOn w:val="917"/>
    <w:link w:val="750"/>
    <w:uiPriority w:val="9"/>
    <w:rPr>
      <w:rFonts w:ascii="Arial" w:hAnsi="Arial" w:eastAsia="Arial" w:cs="Arial"/>
      <w:b/>
      <w:bCs/>
      <w:sz w:val="22"/>
      <w:szCs w:val="22"/>
    </w:rPr>
  </w:style>
  <w:style w:type="paragraph" w:styleId="752">
    <w:name w:val="Heading 7"/>
    <w:basedOn w:val="914"/>
    <w:next w:val="914"/>
    <w:link w:val="75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3">
    <w:name w:val="Heading 7 Char"/>
    <w:basedOn w:val="917"/>
    <w:link w:val="75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4">
    <w:name w:val="Heading 8"/>
    <w:basedOn w:val="914"/>
    <w:next w:val="914"/>
    <w:link w:val="75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5">
    <w:name w:val="Heading 8 Char"/>
    <w:basedOn w:val="917"/>
    <w:link w:val="754"/>
    <w:uiPriority w:val="9"/>
    <w:rPr>
      <w:rFonts w:ascii="Arial" w:hAnsi="Arial" w:eastAsia="Arial" w:cs="Arial"/>
      <w:i/>
      <w:iCs/>
      <w:sz w:val="22"/>
      <w:szCs w:val="22"/>
    </w:rPr>
  </w:style>
  <w:style w:type="paragraph" w:styleId="756">
    <w:name w:val="Heading 9"/>
    <w:basedOn w:val="914"/>
    <w:next w:val="914"/>
    <w:link w:val="75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7">
    <w:name w:val="Heading 9 Char"/>
    <w:basedOn w:val="917"/>
    <w:link w:val="756"/>
    <w:uiPriority w:val="9"/>
    <w:rPr>
      <w:rFonts w:ascii="Arial" w:hAnsi="Arial" w:eastAsia="Arial" w:cs="Arial"/>
      <w:i/>
      <w:iCs/>
      <w:sz w:val="21"/>
      <w:szCs w:val="21"/>
    </w:rPr>
  </w:style>
  <w:style w:type="paragraph" w:styleId="758">
    <w:name w:val="Title"/>
    <w:basedOn w:val="914"/>
    <w:next w:val="914"/>
    <w:link w:val="75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9">
    <w:name w:val="Title Char"/>
    <w:basedOn w:val="917"/>
    <w:link w:val="758"/>
    <w:uiPriority w:val="10"/>
    <w:rPr>
      <w:sz w:val="48"/>
      <w:szCs w:val="48"/>
    </w:rPr>
  </w:style>
  <w:style w:type="paragraph" w:styleId="760">
    <w:name w:val="Subtitle"/>
    <w:basedOn w:val="914"/>
    <w:next w:val="914"/>
    <w:link w:val="761"/>
    <w:uiPriority w:val="11"/>
    <w:qFormat/>
    <w:pPr>
      <w:spacing w:before="200" w:after="200"/>
    </w:pPr>
    <w:rPr>
      <w:sz w:val="24"/>
      <w:szCs w:val="24"/>
    </w:rPr>
  </w:style>
  <w:style w:type="character" w:styleId="761">
    <w:name w:val="Subtitle Char"/>
    <w:basedOn w:val="917"/>
    <w:link w:val="760"/>
    <w:uiPriority w:val="11"/>
    <w:rPr>
      <w:sz w:val="24"/>
      <w:szCs w:val="24"/>
    </w:rPr>
  </w:style>
  <w:style w:type="paragraph" w:styleId="762">
    <w:name w:val="Quote"/>
    <w:basedOn w:val="914"/>
    <w:next w:val="914"/>
    <w:link w:val="763"/>
    <w:uiPriority w:val="29"/>
    <w:qFormat/>
    <w:pPr>
      <w:ind w:left="720" w:right="720"/>
    </w:pPr>
    <w:rPr>
      <w:i/>
    </w:rPr>
  </w:style>
  <w:style w:type="character" w:styleId="763">
    <w:name w:val="Quote Char"/>
    <w:link w:val="762"/>
    <w:uiPriority w:val="29"/>
    <w:rPr>
      <w:i/>
    </w:rPr>
  </w:style>
  <w:style w:type="paragraph" w:styleId="764">
    <w:name w:val="Intense Quote"/>
    <w:basedOn w:val="914"/>
    <w:next w:val="914"/>
    <w:link w:val="76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5">
    <w:name w:val="Intense Quote Char"/>
    <w:link w:val="764"/>
    <w:uiPriority w:val="30"/>
    <w:rPr>
      <w:i/>
    </w:rPr>
  </w:style>
  <w:style w:type="paragraph" w:styleId="766">
    <w:name w:val="Header"/>
    <w:basedOn w:val="914"/>
    <w:link w:val="7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7">
    <w:name w:val="Header Char"/>
    <w:basedOn w:val="917"/>
    <w:link w:val="766"/>
    <w:uiPriority w:val="99"/>
  </w:style>
  <w:style w:type="paragraph" w:styleId="768">
    <w:name w:val="Footer"/>
    <w:basedOn w:val="914"/>
    <w:link w:val="7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9">
    <w:name w:val="Footer Char"/>
    <w:basedOn w:val="917"/>
    <w:link w:val="768"/>
    <w:uiPriority w:val="99"/>
  </w:style>
  <w:style w:type="paragraph" w:styleId="770">
    <w:name w:val="Caption"/>
    <w:basedOn w:val="914"/>
    <w:next w:val="9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1">
    <w:name w:val="Caption Char"/>
    <w:basedOn w:val="770"/>
    <w:link w:val="768"/>
    <w:uiPriority w:val="99"/>
  </w:style>
  <w:style w:type="table" w:styleId="772">
    <w:name w:val="Table Grid Light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3">
    <w:name w:val="Plain Table 1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4">
    <w:name w:val="Plain Table 2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>
    <w:name w:val="Plain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6">
    <w:name w:val="Plain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Plain Table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8">
    <w:name w:val="Grid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Grid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0">
    <w:name w:val="Grid Table 4 - Accent 1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1">
    <w:name w:val="Grid Table 4 - Accent 2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Grid Table 4 - Accent 3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3">
    <w:name w:val="Grid Table 4 - Accent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Grid Table 4 - Accent 5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5">
    <w:name w:val="Grid Table 4 - Accent 6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6">
    <w:name w:val="Grid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7">
    <w:name w:val="Grid Table 5 Dark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08">
    <w:name w:val="Grid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0">
    <w:name w:val="Grid Table 5 Dark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1">
    <w:name w:val="Grid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3">
    <w:name w:val="Grid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4">
    <w:name w:val="Grid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5">
    <w:name w:val="Grid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6">
    <w:name w:val="Grid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7">
    <w:name w:val="Grid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8">
    <w:name w:val="Grid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9">
    <w:name w:val="Grid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0">
    <w:name w:val="Grid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List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5">
    <w:name w:val="List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6">
    <w:name w:val="List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7">
    <w:name w:val="List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8">
    <w:name w:val="List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9">
    <w:name w:val="List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0">
    <w:name w:val="List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1">
    <w:name w:val="List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6">
    <w:name w:val="List Table 5 Dark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3">
    <w:name w:val="List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4">
    <w:name w:val="List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5">
    <w:name w:val="List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6">
    <w:name w:val="List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7">
    <w:name w:val="List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8">
    <w:name w:val="List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9">
    <w:name w:val="List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0">
    <w:name w:val="List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1">
    <w:name w:val="List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2">
    <w:name w:val="List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3">
    <w:name w:val="List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4">
    <w:name w:val="List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5">
    <w:name w:val="List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6">
    <w:name w:val="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7">
    <w:name w:val="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8">
    <w:name w:val="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9">
    <w:name w:val="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0">
    <w:name w:val="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1">
    <w:name w:val="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2">
    <w:name w:val="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3">
    <w:name w:val="Bordered &amp; 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4">
    <w:name w:val="Bordered &amp; 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5">
    <w:name w:val="Bordered &amp; 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6">
    <w:name w:val="Bordered &amp; 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7">
    <w:name w:val="Bordered &amp; 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8">
    <w:name w:val="Bordered &amp; 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9">
    <w:name w:val="Bordered &amp; 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0">
    <w:name w:val="Bordered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1">
    <w:name w:val="Bordered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2">
    <w:name w:val="Bordered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3">
    <w:name w:val="Bordered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4">
    <w:name w:val="Bordered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5">
    <w:name w:val="Bordered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6">
    <w:name w:val="Bordered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97">
    <w:name w:val="footnote text"/>
    <w:basedOn w:val="914"/>
    <w:link w:val="898"/>
    <w:uiPriority w:val="99"/>
    <w:semiHidden/>
    <w:unhideWhenUsed/>
    <w:pPr>
      <w:spacing w:after="40" w:line="240" w:lineRule="auto"/>
    </w:pPr>
    <w:rPr>
      <w:sz w:val="18"/>
    </w:rPr>
  </w:style>
  <w:style w:type="character" w:styleId="898">
    <w:name w:val="Footnote Text Char"/>
    <w:link w:val="897"/>
    <w:uiPriority w:val="99"/>
    <w:rPr>
      <w:sz w:val="18"/>
    </w:rPr>
  </w:style>
  <w:style w:type="character" w:styleId="899">
    <w:name w:val="footnote reference"/>
    <w:basedOn w:val="917"/>
    <w:uiPriority w:val="99"/>
    <w:unhideWhenUsed/>
    <w:rPr>
      <w:vertAlign w:val="superscript"/>
    </w:rPr>
  </w:style>
  <w:style w:type="paragraph" w:styleId="900">
    <w:name w:val="endnote text"/>
    <w:basedOn w:val="914"/>
    <w:link w:val="901"/>
    <w:uiPriority w:val="99"/>
    <w:semiHidden/>
    <w:unhideWhenUsed/>
    <w:pPr>
      <w:spacing w:after="0" w:line="240" w:lineRule="auto"/>
    </w:pPr>
    <w:rPr>
      <w:sz w:val="20"/>
    </w:rPr>
  </w:style>
  <w:style w:type="character" w:styleId="901">
    <w:name w:val="Endnote Text Char"/>
    <w:link w:val="900"/>
    <w:uiPriority w:val="99"/>
    <w:rPr>
      <w:sz w:val="20"/>
    </w:rPr>
  </w:style>
  <w:style w:type="character" w:styleId="902">
    <w:name w:val="endnote reference"/>
    <w:basedOn w:val="917"/>
    <w:uiPriority w:val="99"/>
    <w:semiHidden/>
    <w:unhideWhenUsed/>
    <w:rPr>
      <w:vertAlign w:val="superscript"/>
    </w:rPr>
  </w:style>
  <w:style w:type="paragraph" w:styleId="903">
    <w:name w:val="toc 1"/>
    <w:basedOn w:val="914"/>
    <w:next w:val="914"/>
    <w:uiPriority w:val="39"/>
    <w:unhideWhenUsed/>
    <w:pPr>
      <w:ind w:left="0" w:right="0" w:firstLine="0"/>
      <w:spacing w:after="57"/>
    </w:pPr>
  </w:style>
  <w:style w:type="paragraph" w:styleId="904">
    <w:name w:val="toc 2"/>
    <w:basedOn w:val="914"/>
    <w:next w:val="914"/>
    <w:uiPriority w:val="39"/>
    <w:unhideWhenUsed/>
    <w:pPr>
      <w:ind w:left="283" w:right="0" w:firstLine="0"/>
      <w:spacing w:after="57"/>
    </w:pPr>
  </w:style>
  <w:style w:type="paragraph" w:styleId="905">
    <w:name w:val="toc 3"/>
    <w:basedOn w:val="914"/>
    <w:next w:val="914"/>
    <w:uiPriority w:val="39"/>
    <w:unhideWhenUsed/>
    <w:pPr>
      <w:ind w:left="567" w:right="0" w:firstLine="0"/>
      <w:spacing w:after="57"/>
    </w:pPr>
  </w:style>
  <w:style w:type="paragraph" w:styleId="906">
    <w:name w:val="toc 4"/>
    <w:basedOn w:val="914"/>
    <w:next w:val="914"/>
    <w:uiPriority w:val="39"/>
    <w:unhideWhenUsed/>
    <w:pPr>
      <w:ind w:left="850" w:right="0" w:firstLine="0"/>
      <w:spacing w:after="57"/>
    </w:pPr>
  </w:style>
  <w:style w:type="paragraph" w:styleId="907">
    <w:name w:val="toc 5"/>
    <w:basedOn w:val="914"/>
    <w:next w:val="914"/>
    <w:uiPriority w:val="39"/>
    <w:unhideWhenUsed/>
    <w:pPr>
      <w:ind w:left="1134" w:right="0" w:firstLine="0"/>
      <w:spacing w:after="57"/>
    </w:pPr>
  </w:style>
  <w:style w:type="paragraph" w:styleId="908">
    <w:name w:val="toc 6"/>
    <w:basedOn w:val="914"/>
    <w:next w:val="914"/>
    <w:uiPriority w:val="39"/>
    <w:unhideWhenUsed/>
    <w:pPr>
      <w:ind w:left="1417" w:right="0" w:firstLine="0"/>
      <w:spacing w:after="57"/>
    </w:pPr>
  </w:style>
  <w:style w:type="paragraph" w:styleId="909">
    <w:name w:val="toc 7"/>
    <w:basedOn w:val="914"/>
    <w:next w:val="914"/>
    <w:uiPriority w:val="39"/>
    <w:unhideWhenUsed/>
    <w:pPr>
      <w:ind w:left="1701" w:right="0" w:firstLine="0"/>
      <w:spacing w:after="57"/>
    </w:pPr>
  </w:style>
  <w:style w:type="paragraph" w:styleId="910">
    <w:name w:val="toc 8"/>
    <w:basedOn w:val="914"/>
    <w:next w:val="914"/>
    <w:uiPriority w:val="39"/>
    <w:unhideWhenUsed/>
    <w:pPr>
      <w:ind w:left="1984" w:right="0" w:firstLine="0"/>
      <w:spacing w:after="57"/>
    </w:pPr>
  </w:style>
  <w:style w:type="paragraph" w:styleId="911">
    <w:name w:val="toc 9"/>
    <w:basedOn w:val="914"/>
    <w:next w:val="914"/>
    <w:uiPriority w:val="39"/>
    <w:unhideWhenUsed/>
    <w:pPr>
      <w:ind w:left="2268" w:right="0" w:firstLine="0"/>
      <w:spacing w:after="57"/>
    </w:pPr>
  </w:style>
  <w:style w:type="paragraph" w:styleId="912">
    <w:name w:val="TOC Heading"/>
    <w:uiPriority w:val="39"/>
    <w:unhideWhenUsed/>
  </w:style>
  <w:style w:type="paragraph" w:styleId="913">
    <w:name w:val="table of figures"/>
    <w:basedOn w:val="914"/>
    <w:next w:val="914"/>
    <w:uiPriority w:val="99"/>
    <w:unhideWhenUsed/>
    <w:pPr>
      <w:spacing w:after="0" w:afterAutospacing="0"/>
    </w:pPr>
  </w:style>
  <w:style w:type="paragraph" w:styleId="914" w:default="1">
    <w:name w:val="Normal"/>
    <w:qFormat/>
  </w:style>
  <w:style w:type="paragraph" w:styleId="915">
    <w:name w:val="Heading 1"/>
    <w:basedOn w:val="914"/>
    <w:next w:val="914"/>
    <w:link w:val="928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16">
    <w:name w:val="Heading 3"/>
    <w:basedOn w:val="914"/>
    <w:next w:val="914"/>
    <w:link w:val="930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17" w:default="1">
    <w:name w:val="Default Paragraph Font"/>
    <w:uiPriority w:val="1"/>
    <w:semiHidden/>
    <w:unhideWhenUsed/>
  </w:style>
  <w:style w:type="table" w:styleId="91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9" w:default="1">
    <w:name w:val="No List"/>
    <w:uiPriority w:val="99"/>
    <w:semiHidden/>
    <w:unhideWhenUsed/>
  </w:style>
  <w:style w:type="table" w:styleId="920">
    <w:name w:val="Table Grid"/>
    <w:basedOn w:val="918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21">
    <w:name w:val="Normal (Web)"/>
    <w:basedOn w:val="91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2">
    <w:name w:val="Strong"/>
    <w:basedOn w:val="917"/>
    <w:uiPriority w:val="22"/>
    <w:qFormat/>
    <w:rPr>
      <w:b/>
      <w:bCs/>
    </w:rPr>
  </w:style>
  <w:style w:type="paragraph" w:styleId="923">
    <w:name w:val="List Paragraph"/>
    <w:basedOn w:val="914"/>
    <w:link w:val="935"/>
    <w:qFormat/>
    <w:pPr>
      <w:contextualSpacing/>
      <w:ind w:left="720"/>
    </w:pPr>
    <w:rPr>
      <w:rFonts w:eastAsiaTheme="minorHAnsi"/>
      <w:lang w:eastAsia="en-US"/>
    </w:rPr>
  </w:style>
  <w:style w:type="paragraph" w:styleId="924">
    <w:name w:val="Body Text Indent"/>
    <w:basedOn w:val="914"/>
    <w:link w:val="925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5" w:customStyle="1">
    <w:name w:val="Основной текст с отступом Знак"/>
    <w:basedOn w:val="917"/>
    <w:link w:val="924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26" w:customStyle="1">
    <w:name w:val="Style1"/>
    <w:basedOn w:val="914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27" w:customStyle="1">
    <w:name w:val="Font Style11"/>
    <w:basedOn w:val="917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28" w:customStyle="1">
    <w:name w:val="Заголовок 1 Знак"/>
    <w:basedOn w:val="917"/>
    <w:link w:val="915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29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30" w:customStyle="1">
    <w:name w:val="Заголовок 3 Знак"/>
    <w:basedOn w:val="917"/>
    <w:link w:val="916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31" w:customStyle="1">
    <w:name w:val="c2"/>
    <w:basedOn w:val="917"/>
  </w:style>
  <w:style w:type="paragraph" w:styleId="932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33">
    <w:name w:val="Balloon Text"/>
    <w:basedOn w:val="914"/>
    <w:link w:val="93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34" w:customStyle="1">
    <w:name w:val="Текст выноски Знак"/>
    <w:basedOn w:val="917"/>
    <w:link w:val="933"/>
    <w:uiPriority w:val="99"/>
    <w:semiHidden/>
    <w:rPr>
      <w:rFonts w:ascii="Tahoma" w:hAnsi="Tahoma" w:cs="Tahoma"/>
      <w:sz w:val="16"/>
      <w:szCs w:val="16"/>
    </w:rPr>
  </w:style>
  <w:style w:type="character" w:styleId="935" w:customStyle="1">
    <w:name w:val="Абзац списка Знак"/>
    <w:link w:val="923"/>
    <w:qFormat/>
    <w:rPr>
      <w:rFonts w:eastAsiaTheme="minorHAnsi"/>
      <w:lang w:eastAsia="en-US"/>
    </w:rPr>
  </w:style>
  <w:style w:type="character" w:styleId="936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37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38" w:customStyle="1">
    <w:name w:val="c43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9" w:customStyle="1">
    <w:name w:val="c54"/>
    <w:basedOn w:val="917"/>
  </w:style>
  <w:style w:type="character" w:styleId="940" w:customStyle="1">
    <w:name w:val="c7"/>
    <w:basedOn w:val="917"/>
  </w:style>
  <w:style w:type="character" w:styleId="941" w:customStyle="1">
    <w:name w:val="c3"/>
    <w:basedOn w:val="917"/>
  </w:style>
  <w:style w:type="character" w:styleId="942">
    <w:name w:val="Hyperlink"/>
    <w:basedOn w:val="917"/>
    <w:uiPriority w:val="99"/>
    <w:unhideWhenUsed/>
    <w:rPr>
      <w:color w:val="0000ff" w:themeColor="hyperlink"/>
      <w:u w:val="single"/>
    </w:rPr>
  </w:style>
  <w:style w:type="paragraph" w:styleId="943" w:customStyle="1">
    <w:name w:val="c32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4" w:customStyle="1">
    <w:name w:val="c19"/>
    <w:basedOn w:val="917"/>
  </w:style>
  <w:style w:type="paragraph" w:styleId="945" w:customStyle="1">
    <w:name w:val="c0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6" w:customStyle="1">
    <w:name w:val="c17"/>
    <w:basedOn w:val="917"/>
  </w:style>
  <w:style w:type="paragraph" w:styleId="947" w:customStyle="1">
    <w:name w:val="c31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8" w:customStyle="1">
    <w:name w:val="c85"/>
    <w:basedOn w:val="917"/>
  </w:style>
  <w:style w:type="character" w:styleId="949" w:customStyle="1">
    <w:name w:val="c47"/>
    <w:basedOn w:val="917"/>
  </w:style>
  <w:style w:type="character" w:styleId="950" w:customStyle="1">
    <w:name w:val="c29"/>
    <w:basedOn w:val="917"/>
  </w:style>
  <w:style w:type="paragraph" w:styleId="951" w:customStyle="1">
    <w:name w:val="c67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2" w:customStyle="1">
    <w:name w:val="c4"/>
    <w:basedOn w:val="917"/>
  </w:style>
  <w:style w:type="paragraph" w:styleId="953" w:customStyle="1">
    <w:name w:val="c12"/>
    <w:basedOn w:val="9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54" w:customStyle="1">
    <w:name w:val="Обычный"/>
    <w:next w:val="906"/>
    <w:link w:val="906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955" w:customStyle="1">
    <w:name w:val="Emphasis"/>
    <w:uiPriority w:val="20"/>
    <w:qFormat/>
    <w:rPr>
      <w:i/>
      <w:iCs/>
    </w:rPr>
  </w:style>
  <w:style w:type="paragraph" w:styleId="956" w:customStyle="1">
    <w:name w:val="msonormalcxspmiddle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://fizkult-ura.ru/" TargetMode="External"/><Relationship Id="rId12" Type="http://schemas.openxmlformats.org/officeDocument/2006/relationships/hyperlink" Target="http://www.consultant.ru/document/cons_doc_LAW_168200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16</cp:revision>
  <dcterms:created xsi:type="dcterms:W3CDTF">2023-05-18T10:42:00Z</dcterms:created>
  <dcterms:modified xsi:type="dcterms:W3CDTF">2023-08-22T09:35:13Z</dcterms:modified>
</cp:coreProperties>
</file>